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65C2" w:rsidRPr="002F65C2" w:rsidRDefault="002F65C2" w:rsidP="002F65C2">
      <w:pPr>
        <w:pStyle w:val="NormalWeb"/>
        <w:spacing w:before="0" w:beforeAutospacing="0" w:after="120" w:afterAutospacing="0"/>
        <w:ind w:left="638"/>
        <w:jc w:val="center"/>
        <w:rPr>
          <w:b/>
          <w:sz w:val="32"/>
          <w:szCs w:val="32"/>
        </w:rPr>
      </w:pPr>
      <w:bookmarkStart w:id="0" w:name="_GoBack"/>
      <w:bookmarkEnd w:id="0"/>
      <w:r w:rsidRPr="002F65C2">
        <w:rPr>
          <w:b/>
          <w:sz w:val="32"/>
          <w:szCs w:val="32"/>
        </w:rPr>
        <w:t>CONFERÊNCIA “SISTEMA JUDICIAL -  DECISÕES RECENTES” PROFERIDA PELO SECRETÁRIO-GERAL DA SUPREMA CORTE DOS EUA</w:t>
      </w:r>
      <w:r>
        <w:rPr>
          <w:b/>
          <w:sz w:val="32"/>
          <w:szCs w:val="32"/>
        </w:rPr>
        <w:t xml:space="preserve"> – SUPREMO TRIBUNAL FEDERAL</w:t>
      </w:r>
    </w:p>
    <w:p w:rsidR="002F65C2" w:rsidRDefault="002F65C2" w:rsidP="002F65C2">
      <w:pPr>
        <w:pStyle w:val="NormalWeb"/>
        <w:spacing w:before="0" w:beforeAutospacing="0" w:after="0" w:afterAutospacing="0"/>
        <w:ind w:left="641"/>
        <w:jc w:val="right"/>
        <w:rPr>
          <w:sz w:val="28"/>
          <w:szCs w:val="28"/>
        </w:rPr>
      </w:pPr>
    </w:p>
    <w:p w:rsidR="002F65C2" w:rsidRDefault="002F65C2" w:rsidP="002F65C2">
      <w:pPr>
        <w:pStyle w:val="NormalWeb"/>
        <w:spacing w:before="0" w:beforeAutospacing="0" w:after="0" w:afterAutospacing="0"/>
        <w:ind w:left="641"/>
        <w:jc w:val="right"/>
        <w:rPr>
          <w:sz w:val="21"/>
          <w:szCs w:val="21"/>
        </w:rPr>
      </w:pPr>
      <w:r>
        <w:rPr>
          <w:sz w:val="28"/>
          <w:szCs w:val="28"/>
        </w:rPr>
        <w:t>Brasília, 22 de agosto de 2017.</w:t>
      </w:r>
    </w:p>
    <w:p w:rsidR="002F65C2" w:rsidRPr="002F65C2" w:rsidRDefault="002F65C2" w:rsidP="002F65C2">
      <w:pPr>
        <w:pStyle w:val="NormalWeb"/>
        <w:spacing w:before="0" w:beforeAutospacing="0" w:after="0" w:afterAutospacing="0"/>
        <w:ind w:left="641"/>
        <w:jc w:val="right"/>
        <w:rPr>
          <w:b/>
          <w:sz w:val="21"/>
          <w:szCs w:val="21"/>
        </w:rPr>
      </w:pPr>
      <w:r w:rsidRPr="002F65C2">
        <w:rPr>
          <w:b/>
          <w:sz w:val="28"/>
          <w:szCs w:val="28"/>
        </w:rPr>
        <w:t>Ministro Humberto Martins</w:t>
      </w:r>
    </w:p>
    <w:p w:rsidR="002F65C2" w:rsidRDefault="002F65C2" w:rsidP="002F65C2">
      <w:pPr>
        <w:pStyle w:val="NormalWeb"/>
        <w:spacing w:before="0" w:beforeAutospacing="0" w:after="0" w:afterAutospacing="0"/>
        <w:ind w:left="641"/>
        <w:jc w:val="right"/>
        <w:rPr>
          <w:sz w:val="21"/>
          <w:szCs w:val="21"/>
        </w:rPr>
      </w:pPr>
      <w:r>
        <w:rPr>
          <w:sz w:val="28"/>
          <w:szCs w:val="28"/>
        </w:rPr>
        <w:t>Vice-Presidente do Superior Tribunal de Justiça</w:t>
      </w:r>
    </w:p>
    <w:p w:rsidR="002F65C2" w:rsidRDefault="002F65C2" w:rsidP="002F65C2">
      <w:pPr>
        <w:pStyle w:val="NormalWeb"/>
        <w:spacing w:before="0" w:beforeAutospacing="0" w:after="120" w:afterAutospacing="0"/>
        <w:ind w:left="638"/>
        <w:jc w:val="right"/>
        <w:rPr>
          <w:sz w:val="21"/>
          <w:szCs w:val="21"/>
        </w:rPr>
      </w:pPr>
    </w:p>
    <w:p w:rsidR="002F65C2" w:rsidRDefault="002F65C2" w:rsidP="002F65C2">
      <w:pPr>
        <w:pStyle w:val="NormalWeb"/>
        <w:spacing w:before="0" w:beforeAutospacing="0" w:after="120" w:afterAutospacing="0"/>
        <w:ind w:firstLine="1064"/>
        <w:jc w:val="both"/>
        <w:rPr>
          <w:sz w:val="28"/>
          <w:szCs w:val="28"/>
        </w:rPr>
      </w:pPr>
    </w:p>
    <w:p w:rsidR="002F65C2" w:rsidRDefault="002F65C2" w:rsidP="002F65C2">
      <w:pPr>
        <w:pStyle w:val="NormalWeb"/>
        <w:spacing w:before="0" w:beforeAutospacing="0" w:after="120" w:afterAutospacing="0" w:line="360" w:lineRule="auto"/>
        <w:ind w:firstLine="1064"/>
        <w:jc w:val="both"/>
        <w:rPr>
          <w:sz w:val="21"/>
          <w:szCs w:val="21"/>
        </w:rPr>
      </w:pPr>
      <w:r>
        <w:rPr>
          <w:sz w:val="28"/>
          <w:szCs w:val="28"/>
        </w:rPr>
        <w:t>Cumprimentos iniciais (NOMINATA).</w:t>
      </w:r>
    </w:p>
    <w:p w:rsidR="002F65C2" w:rsidRDefault="002F65C2" w:rsidP="002F65C2">
      <w:pPr>
        <w:pStyle w:val="NormalWeb"/>
        <w:spacing w:before="0" w:beforeAutospacing="0" w:after="120" w:afterAutospacing="0" w:line="360" w:lineRule="auto"/>
        <w:ind w:firstLine="1064"/>
        <w:jc w:val="both"/>
        <w:rPr>
          <w:sz w:val="21"/>
          <w:szCs w:val="21"/>
        </w:rPr>
      </w:pPr>
    </w:p>
    <w:p w:rsidR="002F65C2" w:rsidRDefault="002F65C2" w:rsidP="002F65C2">
      <w:pPr>
        <w:pStyle w:val="NormalWeb"/>
        <w:spacing w:before="0" w:beforeAutospacing="0" w:after="120" w:afterAutospacing="0" w:line="360" w:lineRule="auto"/>
        <w:ind w:firstLine="1064"/>
        <w:jc w:val="both"/>
        <w:rPr>
          <w:sz w:val="21"/>
          <w:szCs w:val="21"/>
        </w:rPr>
      </w:pPr>
      <w:r>
        <w:rPr>
          <w:sz w:val="28"/>
          <w:szCs w:val="28"/>
        </w:rPr>
        <w:t>É uma grande satisfação participar desta Conferência sobre Decisões Recentes da Suprema Corte dos Estados Unidos, tendo o privilégio de ouvir a brilhante exposição do Dr. Scott Harris, Secretário-Geral daquele órgão de cúpula do sistema judiciário americano.</w:t>
      </w:r>
    </w:p>
    <w:p w:rsidR="002F65C2" w:rsidRDefault="002F65C2" w:rsidP="002F65C2">
      <w:pPr>
        <w:pStyle w:val="NormalWeb"/>
        <w:spacing w:before="0" w:beforeAutospacing="0" w:after="120" w:afterAutospacing="0" w:line="360" w:lineRule="auto"/>
        <w:ind w:firstLine="1064"/>
        <w:jc w:val="both"/>
        <w:rPr>
          <w:sz w:val="28"/>
          <w:szCs w:val="28"/>
        </w:rPr>
      </w:pPr>
      <w:r>
        <w:rPr>
          <w:sz w:val="28"/>
          <w:szCs w:val="28"/>
        </w:rPr>
        <w:t xml:space="preserve">Sem sombra de dúvidas, a compreensão do modo de funcionamento da Corte Constitucional do maior país do mundo ensina valiosas lições sobre o papel exercido pelo Poder Judiciário na construção de uma sociedade mais justa e igualitária. E, a despeito das grandes diferenças entre os sistemas judiciais brasileiro e americano, acredito que podemos nos espelhar em muitos aspectos. </w:t>
      </w:r>
    </w:p>
    <w:p w:rsidR="002F65C2" w:rsidRDefault="002F65C2" w:rsidP="002F65C2">
      <w:pPr>
        <w:pStyle w:val="NormalWeb"/>
        <w:spacing w:before="0" w:beforeAutospacing="0" w:after="120" w:afterAutospacing="0" w:line="360" w:lineRule="auto"/>
        <w:ind w:firstLine="1064"/>
        <w:jc w:val="both"/>
        <w:rPr>
          <w:sz w:val="21"/>
          <w:szCs w:val="21"/>
        </w:rPr>
      </w:pPr>
      <w:r>
        <w:rPr>
          <w:sz w:val="28"/>
          <w:szCs w:val="28"/>
        </w:rPr>
        <w:t>Com efeito, o exemplo americano comprova que, ao exercer criteriosamente o poder discricionário de escolher os temas a serem julgados, a Suprema Corte afastou-se do intervencionismo judicial comezinho e elevou seu papel na interpretação constitucional de novas e relevantes questões, alçando-se a um patamar de incomensurável importância e respeitabilidade perante a sociedade.</w:t>
      </w:r>
    </w:p>
    <w:p w:rsidR="002F65C2" w:rsidRDefault="002F65C2" w:rsidP="002F65C2">
      <w:pPr>
        <w:pStyle w:val="NormalWeb"/>
        <w:spacing w:before="0" w:beforeAutospacing="0" w:after="120" w:afterAutospacing="0" w:line="360" w:lineRule="auto"/>
        <w:ind w:firstLine="1064"/>
        <w:jc w:val="both"/>
        <w:rPr>
          <w:sz w:val="21"/>
          <w:szCs w:val="21"/>
        </w:rPr>
      </w:pPr>
      <w:r>
        <w:rPr>
          <w:sz w:val="28"/>
          <w:szCs w:val="28"/>
        </w:rPr>
        <w:t xml:space="preserve">Ora, assim também deveríamos fazer, já que o bom desempenho das funções das Cortes Superiores pressupõe um detido exame e uma profunda reflexão dos magistrados sobre os temas debatidos, devendo a </w:t>
      </w:r>
      <w:r>
        <w:rPr>
          <w:sz w:val="28"/>
          <w:szCs w:val="28"/>
        </w:rPr>
        <w:lastRenderedPageBreak/>
        <w:t>preocupação com a qualidade dos julgados prevalecer sobre a quantidade de decisões.</w:t>
      </w:r>
    </w:p>
    <w:p w:rsidR="002F65C2" w:rsidRDefault="002F65C2" w:rsidP="002F65C2">
      <w:pPr>
        <w:pStyle w:val="NormalWeb"/>
        <w:spacing w:before="0" w:beforeAutospacing="0" w:after="120" w:afterAutospacing="0" w:line="360" w:lineRule="auto"/>
        <w:ind w:firstLine="1064"/>
        <w:jc w:val="both"/>
        <w:rPr>
          <w:sz w:val="28"/>
          <w:szCs w:val="28"/>
        </w:rPr>
      </w:pPr>
      <w:r>
        <w:rPr>
          <w:sz w:val="28"/>
          <w:szCs w:val="28"/>
        </w:rPr>
        <w:t>No Brasil, esforços para melhorar o congestionamento processual nos tribunais, como a criação do instituto da Repercussão Geral e o rito do Recurso Repetitivo, já representam grande avanço. No entanto, segundo relatório Justiça em Números 2016, divulgado pelo Conselho Nacional de Justiça, tramitaram no Poder Judiciário, no ano passado, cerca de 102 milhões de processos.</w:t>
      </w:r>
      <w:r w:rsidR="00DC0811">
        <w:rPr>
          <w:sz w:val="28"/>
          <w:szCs w:val="28"/>
        </w:rPr>
        <w:t xml:space="preserve"> É, infelizmente, um dado que demonstra o enorme e invencível volume de trabalho que desafia </w:t>
      </w:r>
      <w:r w:rsidR="002479FE">
        <w:rPr>
          <w:sz w:val="28"/>
          <w:szCs w:val="28"/>
        </w:rPr>
        <w:t>as Cortes brasileiras</w:t>
      </w:r>
      <w:r w:rsidR="00DC0811">
        <w:rPr>
          <w:sz w:val="28"/>
          <w:szCs w:val="28"/>
        </w:rPr>
        <w:t xml:space="preserve"> para além de suas capacidades.</w:t>
      </w:r>
    </w:p>
    <w:p w:rsidR="00A16817" w:rsidRPr="00A16817" w:rsidRDefault="00A16817" w:rsidP="00A16817">
      <w:pPr>
        <w:pStyle w:val="NormalWeb"/>
        <w:spacing w:before="0" w:beforeAutospacing="0" w:after="120" w:afterAutospacing="0" w:line="360" w:lineRule="auto"/>
        <w:ind w:firstLine="1064"/>
        <w:jc w:val="both"/>
        <w:outlineLvl w:val="0"/>
        <w:rPr>
          <w:color w:val="FF0000"/>
          <w:sz w:val="28"/>
          <w:szCs w:val="28"/>
        </w:rPr>
      </w:pPr>
      <w:r w:rsidRPr="00A16817">
        <w:rPr>
          <w:color w:val="FF0000"/>
          <w:sz w:val="28"/>
          <w:szCs w:val="28"/>
        </w:rPr>
        <w:t>[</w:t>
      </w:r>
      <w:r w:rsidRPr="00A16817">
        <w:rPr>
          <w:i/>
          <w:color w:val="FF0000"/>
          <w:sz w:val="28"/>
          <w:szCs w:val="28"/>
        </w:rPr>
        <w:t>Avaliar conveniência de abordar o tema abaixo</w:t>
      </w:r>
      <w:r>
        <w:rPr>
          <w:i/>
          <w:color w:val="FF0000"/>
          <w:sz w:val="28"/>
          <w:szCs w:val="28"/>
        </w:rPr>
        <w:t>:</w:t>
      </w:r>
      <w:r w:rsidRPr="00A16817">
        <w:rPr>
          <w:color w:val="FF0000"/>
          <w:sz w:val="28"/>
          <w:szCs w:val="28"/>
        </w:rPr>
        <w:t>]</w:t>
      </w:r>
    </w:p>
    <w:p w:rsidR="002F65C2" w:rsidRPr="00A16817" w:rsidRDefault="00DC0811" w:rsidP="00A16817">
      <w:pPr>
        <w:pStyle w:val="NormalWeb"/>
        <w:spacing w:before="0" w:beforeAutospacing="0" w:after="120" w:afterAutospacing="0" w:line="360" w:lineRule="auto"/>
        <w:ind w:firstLine="1064"/>
        <w:jc w:val="both"/>
        <w:outlineLvl w:val="0"/>
        <w:rPr>
          <w:color w:val="2F5496" w:themeColor="accent5" w:themeShade="BF"/>
          <w:sz w:val="28"/>
          <w:szCs w:val="28"/>
        </w:rPr>
      </w:pPr>
      <w:r w:rsidRPr="00A16817">
        <w:rPr>
          <w:color w:val="2F5496" w:themeColor="accent5" w:themeShade="BF"/>
          <w:sz w:val="28"/>
          <w:szCs w:val="28"/>
        </w:rPr>
        <w:t>O</w:t>
      </w:r>
      <w:r w:rsidR="002F65C2" w:rsidRPr="00A16817">
        <w:rPr>
          <w:color w:val="2F5496" w:themeColor="accent5" w:themeShade="BF"/>
          <w:sz w:val="28"/>
          <w:szCs w:val="28"/>
        </w:rPr>
        <w:t xml:space="preserve"> Superior Tribunal de Justiça,</w:t>
      </w:r>
      <w:r w:rsidRPr="00A16817">
        <w:rPr>
          <w:color w:val="2F5496" w:themeColor="accent5" w:themeShade="BF"/>
          <w:sz w:val="28"/>
          <w:szCs w:val="28"/>
        </w:rPr>
        <w:t xml:space="preserve"> Corte que integro como Vice-Presidente,</w:t>
      </w:r>
      <w:r w:rsidR="002F65C2" w:rsidRPr="00A16817">
        <w:rPr>
          <w:color w:val="2F5496" w:themeColor="accent5" w:themeShade="BF"/>
          <w:sz w:val="28"/>
          <w:szCs w:val="28"/>
        </w:rPr>
        <w:t xml:space="preserve"> </w:t>
      </w:r>
      <w:r w:rsidRPr="00A16817">
        <w:rPr>
          <w:color w:val="2F5496" w:themeColor="accent5" w:themeShade="BF"/>
          <w:sz w:val="28"/>
          <w:szCs w:val="28"/>
        </w:rPr>
        <w:t>recebe diariamente</w:t>
      </w:r>
      <w:r w:rsidR="002F65C2" w:rsidRPr="00A16817">
        <w:rPr>
          <w:color w:val="2F5496" w:themeColor="accent5" w:themeShade="BF"/>
          <w:sz w:val="28"/>
          <w:szCs w:val="28"/>
        </w:rPr>
        <w:t xml:space="preserve"> uma avalanche de recursos. Por essa razão, estamos convictos da necessidade da aprovação da PEC n. 10 pelo Senado Federal, que estabelecerá um filtro de relevância para os recursos especiais e possibilitará o resgate da missão constitucional do STJ, que é a uniformização da interpretação da lei federal.</w:t>
      </w:r>
      <w:r w:rsidR="00A16817" w:rsidRPr="00A16817">
        <w:rPr>
          <w:color w:val="2F5496" w:themeColor="accent5" w:themeShade="BF"/>
          <w:sz w:val="28"/>
          <w:szCs w:val="28"/>
        </w:rPr>
        <w:t xml:space="preserve"> </w:t>
      </w:r>
    </w:p>
    <w:p w:rsidR="00A16817" w:rsidRDefault="00A16817" w:rsidP="00A16817">
      <w:pPr>
        <w:pStyle w:val="NormalWeb"/>
        <w:spacing w:before="0" w:beforeAutospacing="0" w:after="120" w:afterAutospacing="0" w:line="360" w:lineRule="auto"/>
        <w:ind w:firstLine="1064"/>
        <w:jc w:val="both"/>
        <w:rPr>
          <w:sz w:val="28"/>
          <w:szCs w:val="28"/>
        </w:rPr>
      </w:pPr>
      <w:r>
        <w:rPr>
          <w:sz w:val="28"/>
          <w:szCs w:val="28"/>
        </w:rPr>
        <w:t xml:space="preserve">Enfim, há que se buscar sempre o aprimoramento de nossas instituições, e, por essa razão, tão importante o estreitamento de vínculos e o aprendizado com a Suprema Corte dos Estados Unidos, notável </w:t>
      </w:r>
      <w:r w:rsidR="000B3AAB">
        <w:rPr>
          <w:sz w:val="28"/>
          <w:szCs w:val="28"/>
        </w:rPr>
        <w:t>modelo</w:t>
      </w:r>
      <w:r>
        <w:rPr>
          <w:sz w:val="28"/>
          <w:szCs w:val="28"/>
        </w:rPr>
        <w:t xml:space="preserve"> de eficácia da atuação do Poder Judiciário.</w:t>
      </w:r>
    </w:p>
    <w:p w:rsidR="002F65C2" w:rsidRDefault="002F65C2" w:rsidP="00DC0811">
      <w:pPr>
        <w:pStyle w:val="NormalWeb"/>
        <w:spacing w:before="0" w:beforeAutospacing="0" w:after="120" w:afterAutospacing="0" w:line="360" w:lineRule="auto"/>
        <w:ind w:firstLine="1134"/>
        <w:jc w:val="both"/>
        <w:rPr>
          <w:sz w:val="21"/>
          <w:szCs w:val="21"/>
        </w:rPr>
      </w:pPr>
      <w:r>
        <w:rPr>
          <w:sz w:val="28"/>
          <w:szCs w:val="28"/>
        </w:rPr>
        <w:t xml:space="preserve">Concluindo, registro meus sinceros agradecimentos ao Supremo Tribunal Federal, na pessoa de sua Presidente, a eminente Ministra </w:t>
      </w:r>
      <w:proofErr w:type="spellStart"/>
      <w:r>
        <w:rPr>
          <w:sz w:val="28"/>
          <w:szCs w:val="28"/>
        </w:rPr>
        <w:t>Cármen</w:t>
      </w:r>
      <w:proofErr w:type="spellEnd"/>
      <w:r>
        <w:rPr>
          <w:sz w:val="28"/>
          <w:szCs w:val="28"/>
        </w:rPr>
        <w:t xml:space="preserve"> Lúcia, por possibilitar este encontro tão raro e profícuo entre os integrantes das mais altas Cortes do Brasil e dos Estados Unidos da América, e ao ilustre Dr. Scott Harris, pela generosidade de compartilhar seu saber e experiência.</w:t>
      </w:r>
    </w:p>
    <w:p w:rsidR="002F65C2" w:rsidRDefault="002F65C2" w:rsidP="002F65C2">
      <w:pPr>
        <w:pStyle w:val="NormalWeb"/>
        <w:spacing w:before="0" w:beforeAutospacing="0" w:after="120" w:afterAutospacing="0" w:line="360" w:lineRule="auto"/>
        <w:ind w:firstLine="1064"/>
        <w:jc w:val="both"/>
        <w:rPr>
          <w:sz w:val="21"/>
          <w:szCs w:val="21"/>
        </w:rPr>
      </w:pPr>
      <w:r>
        <w:rPr>
          <w:sz w:val="28"/>
          <w:szCs w:val="28"/>
        </w:rPr>
        <w:t>Muito obrigado.</w:t>
      </w:r>
    </w:p>
    <w:sectPr w:rsidR="002F65C2" w:rsidSect="00A16817">
      <w:pgSz w:w="11906" w:h="16838"/>
      <w:pgMar w:top="1417" w:right="1701" w:bottom="127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65C2"/>
    <w:rsid w:val="000B3AAB"/>
    <w:rsid w:val="00106E72"/>
    <w:rsid w:val="002479FE"/>
    <w:rsid w:val="002F65C2"/>
    <w:rsid w:val="00581C0A"/>
    <w:rsid w:val="00803CA4"/>
    <w:rsid w:val="00942400"/>
    <w:rsid w:val="00A16817"/>
    <w:rsid w:val="00DC0811"/>
    <w:rsid w:val="00F67EE1"/>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semiHidden/>
    <w:unhideWhenUsed/>
    <w:rsid w:val="002F65C2"/>
    <w:pPr>
      <w:spacing w:before="100" w:beforeAutospacing="1" w:after="100" w:afterAutospacing="1" w:line="240" w:lineRule="auto"/>
    </w:pPr>
    <w:rPr>
      <w:rFonts w:ascii="Times New Roman" w:hAnsi="Times New Roman" w:cs="Times New Roman"/>
      <w:sz w:val="24"/>
      <w:szCs w:val="24"/>
      <w:lang w:eastAsia="pt-BR"/>
    </w:rPr>
  </w:style>
  <w:style w:type="character" w:customStyle="1" w:styleId="apple-tab-span">
    <w:name w:val="apple-tab-span"/>
    <w:basedOn w:val="Fontepargpadro"/>
    <w:rsid w:val="002F65C2"/>
  </w:style>
  <w:style w:type="character" w:styleId="Refdecomentrio">
    <w:name w:val="annotation reference"/>
    <w:basedOn w:val="Fontepargpadro"/>
    <w:uiPriority w:val="99"/>
    <w:semiHidden/>
    <w:unhideWhenUsed/>
    <w:rsid w:val="00A16817"/>
    <w:rPr>
      <w:sz w:val="16"/>
      <w:szCs w:val="16"/>
    </w:rPr>
  </w:style>
  <w:style w:type="paragraph" w:styleId="Textodecomentrio">
    <w:name w:val="annotation text"/>
    <w:basedOn w:val="Normal"/>
    <w:link w:val="TextodecomentrioChar"/>
    <w:uiPriority w:val="99"/>
    <w:semiHidden/>
    <w:unhideWhenUsed/>
    <w:rsid w:val="00A16817"/>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A16817"/>
    <w:rPr>
      <w:sz w:val="20"/>
      <w:szCs w:val="20"/>
    </w:rPr>
  </w:style>
  <w:style w:type="paragraph" w:styleId="Assuntodocomentrio">
    <w:name w:val="annotation subject"/>
    <w:basedOn w:val="Textodecomentrio"/>
    <w:next w:val="Textodecomentrio"/>
    <w:link w:val="AssuntodocomentrioChar"/>
    <w:uiPriority w:val="99"/>
    <w:semiHidden/>
    <w:unhideWhenUsed/>
    <w:rsid w:val="00A16817"/>
    <w:rPr>
      <w:b/>
      <w:bCs/>
    </w:rPr>
  </w:style>
  <w:style w:type="character" w:customStyle="1" w:styleId="AssuntodocomentrioChar">
    <w:name w:val="Assunto do comentário Char"/>
    <w:basedOn w:val="TextodecomentrioChar"/>
    <w:link w:val="Assuntodocomentrio"/>
    <w:uiPriority w:val="99"/>
    <w:semiHidden/>
    <w:rsid w:val="00A16817"/>
    <w:rPr>
      <w:b/>
      <w:bCs/>
      <w:sz w:val="20"/>
      <w:szCs w:val="20"/>
    </w:rPr>
  </w:style>
  <w:style w:type="paragraph" w:styleId="Textodebalo">
    <w:name w:val="Balloon Text"/>
    <w:basedOn w:val="Normal"/>
    <w:link w:val="TextodebaloChar"/>
    <w:uiPriority w:val="99"/>
    <w:semiHidden/>
    <w:unhideWhenUsed/>
    <w:rsid w:val="00A16817"/>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A16817"/>
    <w:rPr>
      <w:rFonts w:ascii="Segoe UI" w:hAnsi="Segoe UI" w:cs="Segoe U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semiHidden/>
    <w:unhideWhenUsed/>
    <w:rsid w:val="002F65C2"/>
    <w:pPr>
      <w:spacing w:before="100" w:beforeAutospacing="1" w:after="100" w:afterAutospacing="1" w:line="240" w:lineRule="auto"/>
    </w:pPr>
    <w:rPr>
      <w:rFonts w:ascii="Times New Roman" w:hAnsi="Times New Roman" w:cs="Times New Roman"/>
      <w:sz w:val="24"/>
      <w:szCs w:val="24"/>
      <w:lang w:eastAsia="pt-BR"/>
    </w:rPr>
  </w:style>
  <w:style w:type="character" w:customStyle="1" w:styleId="apple-tab-span">
    <w:name w:val="apple-tab-span"/>
    <w:basedOn w:val="Fontepargpadro"/>
    <w:rsid w:val="002F65C2"/>
  </w:style>
  <w:style w:type="character" w:styleId="Refdecomentrio">
    <w:name w:val="annotation reference"/>
    <w:basedOn w:val="Fontepargpadro"/>
    <w:uiPriority w:val="99"/>
    <w:semiHidden/>
    <w:unhideWhenUsed/>
    <w:rsid w:val="00A16817"/>
    <w:rPr>
      <w:sz w:val="16"/>
      <w:szCs w:val="16"/>
    </w:rPr>
  </w:style>
  <w:style w:type="paragraph" w:styleId="Textodecomentrio">
    <w:name w:val="annotation text"/>
    <w:basedOn w:val="Normal"/>
    <w:link w:val="TextodecomentrioChar"/>
    <w:uiPriority w:val="99"/>
    <w:semiHidden/>
    <w:unhideWhenUsed/>
    <w:rsid w:val="00A16817"/>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A16817"/>
    <w:rPr>
      <w:sz w:val="20"/>
      <w:szCs w:val="20"/>
    </w:rPr>
  </w:style>
  <w:style w:type="paragraph" w:styleId="Assuntodocomentrio">
    <w:name w:val="annotation subject"/>
    <w:basedOn w:val="Textodecomentrio"/>
    <w:next w:val="Textodecomentrio"/>
    <w:link w:val="AssuntodocomentrioChar"/>
    <w:uiPriority w:val="99"/>
    <w:semiHidden/>
    <w:unhideWhenUsed/>
    <w:rsid w:val="00A16817"/>
    <w:rPr>
      <w:b/>
      <w:bCs/>
    </w:rPr>
  </w:style>
  <w:style w:type="character" w:customStyle="1" w:styleId="AssuntodocomentrioChar">
    <w:name w:val="Assunto do comentário Char"/>
    <w:basedOn w:val="TextodecomentrioChar"/>
    <w:link w:val="Assuntodocomentrio"/>
    <w:uiPriority w:val="99"/>
    <w:semiHidden/>
    <w:rsid w:val="00A16817"/>
    <w:rPr>
      <w:b/>
      <w:bCs/>
      <w:sz w:val="20"/>
      <w:szCs w:val="20"/>
    </w:rPr>
  </w:style>
  <w:style w:type="paragraph" w:styleId="Textodebalo">
    <w:name w:val="Balloon Text"/>
    <w:basedOn w:val="Normal"/>
    <w:link w:val="TextodebaloChar"/>
    <w:uiPriority w:val="99"/>
    <w:semiHidden/>
    <w:unhideWhenUsed/>
    <w:rsid w:val="00A16817"/>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A1681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4487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B76ED4-208F-412E-AB79-15A6FBAF58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495</Words>
  <Characters>2677</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Superior Tribunal de Justiça</Company>
  <LinksUpToDate>false</LinksUpToDate>
  <CharactersWithSpaces>3166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Rita Candeia de Souza Lima</dc:creator>
  <cp:lastModifiedBy>Josefa Tereza Roque de Araújo</cp:lastModifiedBy>
  <cp:revision>2</cp:revision>
  <cp:lastPrinted>2017-08-22T11:28:00Z</cp:lastPrinted>
  <dcterms:created xsi:type="dcterms:W3CDTF">2017-08-22T16:21:00Z</dcterms:created>
  <dcterms:modified xsi:type="dcterms:W3CDTF">2017-08-22T16:21:00Z</dcterms:modified>
</cp:coreProperties>
</file>